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98" w:rsidRPr="00B91E98" w:rsidRDefault="00B91E98">
      <w:pPr>
        <w:rPr>
          <w:b/>
          <w:sz w:val="32"/>
          <w:szCs w:val="32"/>
        </w:rPr>
      </w:pPr>
      <w:r w:rsidRPr="00B91E98">
        <w:rPr>
          <w:b/>
          <w:sz w:val="32"/>
          <w:szCs w:val="32"/>
        </w:rPr>
        <w:t>OŠ MURTERSKI ŠKOJI - MURTER</w:t>
      </w:r>
    </w:p>
    <w:p w:rsidR="0046325C" w:rsidRDefault="00B91E98">
      <w:pPr>
        <w:rPr>
          <w:b/>
        </w:rPr>
      </w:pPr>
      <w:r>
        <w:rPr>
          <w:b/>
        </w:rPr>
        <w:t>BILJEŠKE UZ OBRAZAC PR-RAS</w:t>
      </w: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tbl>
      <w:tblPr>
        <w:tblW w:w="12997" w:type="dxa"/>
        <w:tblLook w:val="04A0" w:firstRow="1" w:lastRow="0" w:firstColumn="1" w:lastColumn="0" w:noHBand="0" w:noVBand="1"/>
      </w:tblPr>
      <w:tblGrid>
        <w:gridCol w:w="934"/>
        <w:gridCol w:w="4169"/>
        <w:gridCol w:w="1353"/>
        <w:gridCol w:w="1367"/>
        <w:gridCol w:w="1340"/>
        <w:gridCol w:w="1340"/>
        <w:gridCol w:w="1340"/>
        <w:gridCol w:w="1340"/>
      </w:tblGrid>
      <w:tr w:rsidR="00B91E98" w:rsidRPr="00B91E98" w:rsidTr="00B91E98">
        <w:trPr>
          <w:trHeight w:val="315"/>
        </w:trPr>
        <w:tc>
          <w:tcPr>
            <w:tcW w:w="4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</w:tr>
      <w:tr w:rsidR="00B91E98" w:rsidRPr="00B91E98" w:rsidTr="00B91E98">
        <w:trPr>
          <w:trHeight w:val="33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53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91E98" w:rsidRPr="00B91E98" w:rsidTr="00B91E98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poslovanja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na robu i usluge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046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inozemnih vlada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054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odnosi se na doznaku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sredstav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od HZZ-a- pripravništvo i tek pomoći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izvanpror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Korisnika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063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odnosi se na doznačena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srtedstva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iz Državnog proračuna  - Škola za život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066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083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 tekućoj godini ostvareno je manje vlastitih sredstava 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127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ostvareno je manje sredstava donacije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po sporazumu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veći broj djelatnika za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Jubilarnr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nag., pomoći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Rashodi za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meterijal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energiju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povećana  potreba sredstava za održavanje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Kamate na primljene kredite i zajmove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</w:tr>
      <w:tr w:rsidR="00B91E98" w:rsidRPr="00B91E98" w:rsidTr="00B91E98">
        <w:trPr>
          <w:trHeight w:val="78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Subvencije trgovačkim društvima, zadrugama, poljoprivrednicima i obrtnicima izvan javnog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ektora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1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od nefinancijske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Prihodi od prodaje materijalne imovine - prirodnih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bogastava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postrojenja i opreme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manje nabavljeno opreme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634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Primici i izdaci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Primici (povrati) glavnice zajmova danih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krditnim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ostalim financijskim institucijama izvan javnog sektora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Primici od povrata depozita i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jamčevnih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pologa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1035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61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633-634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Višak/Manjak prihoda i primitaka - preneseni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U prošloj godini ostvaren je višak prihoda poslovanja 8.111 kn, a odnosi se na </w:t>
            </w:r>
            <w:proofErr w:type="spellStart"/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neutrišene</w:t>
            </w:r>
            <w:proofErr w:type="spellEnd"/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 donacije i </w:t>
            </w:r>
            <w:proofErr w:type="spellStart"/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vl</w:t>
            </w:r>
            <w:proofErr w:type="spellEnd"/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. prihode. Izvršili smo korekciju rezultata i </w:t>
            </w:r>
            <w:proofErr w:type="spellStart"/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i</w:t>
            </w:r>
            <w:proofErr w:type="spellEnd"/>
            <w:r w:rsidRPr="00B91E9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 xml:space="preserve"> manjak od 24840 kn trebao bi biti pokriven u tekućoj godini </w:t>
            </w:r>
          </w:p>
        </w:tc>
      </w:tr>
    </w:tbl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  <w:r>
        <w:rPr>
          <w:b/>
        </w:rPr>
        <w:lastRenderedPageBreak/>
        <w:t>BILJEŠKE UZ OBRAZAC BIL</w:t>
      </w: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tbl>
      <w:tblPr>
        <w:tblW w:w="14161" w:type="dxa"/>
        <w:tblLook w:val="04A0" w:firstRow="1" w:lastRow="0" w:firstColumn="1" w:lastColumn="0" w:noHBand="0" w:noVBand="1"/>
      </w:tblPr>
      <w:tblGrid>
        <w:gridCol w:w="965"/>
        <w:gridCol w:w="3693"/>
        <w:gridCol w:w="1592"/>
        <w:gridCol w:w="1608"/>
        <w:gridCol w:w="1208"/>
        <w:gridCol w:w="1206"/>
        <w:gridCol w:w="1206"/>
        <w:gridCol w:w="2683"/>
      </w:tblGrid>
      <w:tr w:rsidR="00B91E98" w:rsidRPr="00B91E98" w:rsidTr="00B91E98">
        <w:trPr>
          <w:trHeight w:val="315"/>
        </w:trPr>
        <w:tc>
          <w:tcPr>
            <w:tcW w:w="46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63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</w:tr>
      <w:tr w:rsidR="00B91E98" w:rsidRPr="00B91E98" w:rsidTr="00B91E98">
        <w:trPr>
          <w:trHeight w:val="33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6303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91E98" w:rsidRPr="00B91E98" w:rsidTr="00B91E98">
        <w:trPr>
          <w:trHeight w:val="33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Neproizvedena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dugotrajna imovina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3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010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nabavljena nefinancijska imovina uglavnom  iz </w:t>
            </w:r>
            <w:proofErr w:type="spellStart"/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prorač</w:t>
            </w:r>
            <w:proofErr w:type="spellEnd"/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 ŠKŽ</w:t>
            </w:r>
          </w:p>
        </w:tc>
      </w:tr>
      <w:tr w:rsidR="00B91E98" w:rsidRPr="00B91E98" w:rsidTr="00B91E98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047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058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Proizvedena kratkotrajna imovina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Depoziti u kreditnim i ostalim financijskim institucijama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077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Jamčevni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polozi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080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od HZZO-a za bol. Preko 42 dana</w:t>
            </w:r>
          </w:p>
        </w:tc>
      </w:tr>
      <w:tr w:rsidR="00B91E98" w:rsidRPr="00B91E98" w:rsidTr="00B91E98">
        <w:trPr>
          <w:trHeight w:val="78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pomoći iz inozemstva  i od subjekata unutar općeg proračuna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projekt Školska shema</w:t>
            </w:r>
          </w:p>
        </w:tc>
      </w:tr>
      <w:tr w:rsidR="00B91E98" w:rsidRPr="00B91E98" w:rsidTr="00B91E98">
        <w:trPr>
          <w:trHeight w:val="52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Potraživanja za prihode od prodaje proizvoda i robe te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prućenih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usluga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 za materijal i usluge - kontinuirani rashodi</w:t>
            </w:r>
          </w:p>
        </w:tc>
      </w:tr>
      <w:tr w:rsidR="00B91E98" w:rsidRPr="00B91E98" w:rsidTr="00B91E98">
        <w:trPr>
          <w:trHeight w:val="52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prihode iz proračuna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odnosi se na prihode uplaćene u proračun od HZZ-a za isplatu plaće pripravnika i prihode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Drž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Proračuna u sklopu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kurikularne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reforme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164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rashode poslovanja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zaposlene i materijalne rashode</w:t>
            </w:r>
          </w:p>
        </w:tc>
      </w:tr>
      <w:tr w:rsidR="00B91E98" w:rsidRPr="00B91E98" w:rsidTr="00B91E98">
        <w:trPr>
          <w:trHeight w:val="30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kredite i zajmove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244          245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Izvanbilančni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zapisi - aktiva/pasiva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156.537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156.537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Oprema iz projekta Podrška provedbi Cjelovite </w:t>
            </w:r>
            <w:proofErr w:type="spellStart"/>
            <w:r w:rsidRPr="00B91E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kurikularne</w:t>
            </w:r>
            <w:proofErr w:type="spellEnd"/>
            <w:r w:rsidRPr="00B91E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reforme faza II: - laptop 18 kom, </w:t>
            </w:r>
            <w:proofErr w:type="spellStart"/>
            <w:r w:rsidRPr="00B91E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tablet</w:t>
            </w:r>
            <w:proofErr w:type="spellEnd"/>
            <w:r w:rsidRPr="00B91E9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 xml:space="preserve"> kom 68, ormarića kom 1, laptop kom 1, projektori kom 2.</w:t>
            </w:r>
          </w:p>
        </w:tc>
      </w:tr>
      <w:tr w:rsidR="00B91E98" w:rsidRPr="00B91E98" w:rsidTr="00B91E98">
        <w:trPr>
          <w:trHeight w:val="315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315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NAPOMENA: Škola nema ugovornih obveza i sudskih sporova.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315"/>
        </w:trPr>
        <w:tc>
          <w:tcPr>
            <w:tcW w:w="14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1E98" w:rsidRPr="00B91E98" w:rsidTr="00B91E98">
        <w:trPr>
          <w:trHeight w:val="315"/>
        </w:trPr>
        <w:tc>
          <w:tcPr>
            <w:tcW w:w="14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91E98" w:rsidRPr="00B91E98" w:rsidTr="00B91E98">
        <w:trPr>
          <w:trHeight w:val="3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315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  <w:r>
        <w:rPr>
          <w:b/>
        </w:rPr>
        <w:lastRenderedPageBreak/>
        <w:t>BILJEŠKE UZ OBRAZAC P-VRIO</w:t>
      </w: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tbl>
      <w:tblPr>
        <w:tblW w:w="12497" w:type="dxa"/>
        <w:tblLook w:val="04A0" w:firstRow="1" w:lastRow="0" w:firstColumn="1" w:lastColumn="0" w:noHBand="0" w:noVBand="1"/>
      </w:tblPr>
      <w:tblGrid>
        <w:gridCol w:w="934"/>
        <w:gridCol w:w="3140"/>
        <w:gridCol w:w="1353"/>
        <w:gridCol w:w="1367"/>
        <w:gridCol w:w="1116"/>
        <w:gridCol w:w="1113"/>
        <w:gridCol w:w="1113"/>
        <w:gridCol w:w="2475"/>
      </w:tblGrid>
      <w:tr w:rsidR="00B91E98" w:rsidRPr="00B91E98" w:rsidTr="00B91E98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58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povećanja/smanjenja</w:t>
            </w:r>
          </w:p>
        </w:tc>
      </w:tr>
      <w:tr w:rsidR="00B91E98" w:rsidRPr="00B91E98" w:rsidTr="00B91E98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581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91E98" w:rsidRPr="00B91E98" w:rsidTr="00B91E98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vrijednosti (revalorizacija) imovine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019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nefinancijske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51961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nefinancijska imovina nabavljena od ŠKŽ za poboljšanje standarda OŠ</w:t>
            </w:r>
          </w:p>
        </w:tc>
      </w:tr>
      <w:tr w:rsidR="00B91E98" w:rsidRPr="00B91E98" w:rsidTr="00B91E98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</w:p>
    <w:p w:rsidR="00B91E98" w:rsidRDefault="00B91E98">
      <w:pPr>
        <w:rPr>
          <w:b/>
        </w:rPr>
      </w:pPr>
      <w:r>
        <w:rPr>
          <w:b/>
        </w:rPr>
        <w:lastRenderedPageBreak/>
        <w:t>BILJEŠKE UZ OBRAZAC OBVEZE</w:t>
      </w:r>
    </w:p>
    <w:p w:rsidR="00B91E98" w:rsidRDefault="00B91E98">
      <w:pPr>
        <w:rPr>
          <w:b/>
        </w:rPr>
      </w:pPr>
    </w:p>
    <w:tbl>
      <w:tblPr>
        <w:tblW w:w="14197" w:type="dxa"/>
        <w:tblLook w:val="04A0" w:firstRow="1" w:lastRow="0" w:firstColumn="1" w:lastColumn="0" w:noHBand="0" w:noVBand="1"/>
      </w:tblPr>
      <w:tblGrid>
        <w:gridCol w:w="934"/>
        <w:gridCol w:w="3140"/>
        <w:gridCol w:w="1540"/>
        <w:gridCol w:w="2175"/>
        <w:gridCol w:w="2174"/>
        <w:gridCol w:w="2174"/>
        <w:gridCol w:w="2174"/>
      </w:tblGrid>
      <w:tr w:rsidR="00B91E98" w:rsidRPr="00B91E98" w:rsidTr="00B91E98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86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pojašnjenje strukture</w:t>
            </w:r>
          </w:p>
        </w:tc>
      </w:tr>
      <w:tr w:rsidR="00B91E98" w:rsidRPr="00B91E98" w:rsidTr="00B91E98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B91E98" w:rsidRPr="00B91E98" w:rsidTr="00B91E98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Povećanje obveza u izvještajnom razdoblju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4.213.301,00</w:t>
            </w:r>
          </w:p>
        </w:tc>
        <w:tc>
          <w:tcPr>
            <w:tcW w:w="86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obveze nastale u 2019.g . Od ukupnih obveza 75% obveza su za zaposlene  te ostatak za materijalne </w:t>
            </w:r>
            <w:proofErr w:type="spellStart"/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obv</w:t>
            </w:r>
            <w:proofErr w:type="spellEnd"/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91E98" w:rsidRPr="00B91E98" w:rsidTr="00B91E98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međusobnih obveze proračunskih korisnika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Podmirene obveze u izvještajnom razdoblju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4.191.693,00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Podmirene obveze u izvještajnom razdoblju i dio podmirenih obveza iz 2018.g.</w:t>
            </w:r>
          </w:p>
        </w:tc>
      </w:tr>
      <w:tr w:rsidR="00B91E98" w:rsidRPr="00B91E98" w:rsidTr="00B91E98">
        <w:trPr>
          <w:trHeight w:val="537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Podmirene međusobne obveze proračunskih korisnika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Stanje obveza na kraju izvještajnog razdoblja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322.896,00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Obveze za </w:t>
            </w:r>
            <w:proofErr w:type="spellStart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zaposlene,materijane</w:t>
            </w:r>
            <w:proofErr w:type="spellEnd"/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ostale rashode - kontinuirani rashodi</w:t>
            </w:r>
          </w:p>
        </w:tc>
      </w:tr>
      <w:tr w:rsidR="00B91E98" w:rsidRPr="00B91E98" w:rsidTr="00B91E98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037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dospjelih obveza na kraju izvještajnog razdoblja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322.896,00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nedospjelih obveza na kraju izvještajnog razdoblja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91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91E98" w:rsidRPr="00B91E98" w:rsidTr="00B91E9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91E98" w:rsidRPr="00B91E98" w:rsidTr="00B91E9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98" w:rsidRPr="00B91E98" w:rsidRDefault="00B91E98" w:rsidP="00B9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91E98" w:rsidRDefault="009E18BC">
      <w:pPr>
        <w:rPr>
          <w:b/>
        </w:rPr>
      </w:pPr>
      <w:r>
        <w:rPr>
          <w:b/>
        </w:rPr>
        <w:t>Murter, 31.01.2019.g</w:t>
      </w:r>
    </w:p>
    <w:p w:rsidR="009E18BC" w:rsidRDefault="009E18BC">
      <w:pPr>
        <w:rPr>
          <w:b/>
        </w:rPr>
      </w:pPr>
    </w:p>
    <w:p w:rsidR="009E18BC" w:rsidRDefault="009E18BC">
      <w:pPr>
        <w:rPr>
          <w:b/>
        </w:rPr>
      </w:pPr>
    </w:p>
    <w:p w:rsidR="009E18BC" w:rsidRDefault="009E18BC">
      <w:pPr>
        <w:rPr>
          <w:b/>
        </w:rPr>
      </w:pPr>
      <w:r>
        <w:rPr>
          <w:b/>
        </w:rPr>
        <w:t>_________________________                                                                                                                                                         ____________________</w:t>
      </w:r>
    </w:p>
    <w:p w:rsidR="009E18BC" w:rsidRPr="00B91E98" w:rsidRDefault="009E18BC">
      <w:pPr>
        <w:rPr>
          <w:b/>
        </w:rPr>
      </w:pPr>
      <w:r>
        <w:rPr>
          <w:b/>
        </w:rPr>
        <w:t>Voditelj računovodstva                                                                                                                                                                        Zakonski zastupnik</w:t>
      </w:r>
      <w:bookmarkStart w:id="0" w:name="_GoBack"/>
      <w:bookmarkEnd w:id="0"/>
    </w:p>
    <w:sectPr w:rsidR="009E18BC" w:rsidRPr="00B91E98" w:rsidSect="00B91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8"/>
    <w:rsid w:val="0046325C"/>
    <w:rsid w:val="009E18BC"/>
    <w:rsid w:val="00B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32669-25C9-4842-A3A8-F53A603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2020-01-31T11:19:00Z</dcterms:created>
  <dcterms:modified xsi:type="dcterms:W3CDTF">2020-01-31T11:55:00Z</dcterms:modified>
</cp:coreProperties>
</file>